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3A" w:rsidRDefault="0065053A" w:rsidP="0065053A">
      <w:pPr>
        <w:spacing w:before="100" w:beforeAutospacing="1" w:after="100" w:afterAutospacing="1"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 xml:space="preserve">МОТИВИ </w:t>
      </w:r>
    </w:p>
    <w:p w:rsidR="0065053A" w:rsidRPr="0065053A" w:rsidRDefault="0065053A" w:rsidP="0065053A">
      <w:pPr>
        <w:ind w:firstLine="708"/>
        <w:jc w:val="both"/>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 xml:space="preserve">към проект за приемане на </w:t>
      </w:r>
      <w:r w:rsidRPr="0065053A">
        <w:rPr>
          <w:rFonts w:ascii="Times New Roman" w:eastAsia="Times New Roman" w:hAnsi="Times New Roman" w:cs="Times New Roman"/>
          <w:b/>
          <w:sz w:val="26"/>
          <w:szCs w:val="26"/>
          <w:lang w:eastAsia="bg-BG"/>
        </w:rPr>
        <w:t>Наредба за изменение на Наредба № 24 за преместваемите обекти и рекламната и информационна дейност на територията на община Бяла Слатина</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С Решение № 619/2010 г. е приета Наредба № 24 за преместваемите обекти и рекламната и информационна дейност на територията на община Бяла Слатина (наричана само „Наредба № 24“ или „Наредбата“), изменена с Решение № 198 от 29.07.2016 г. С Наредбата се уреждат редът и условията за поставяне и премахване на преместваеми обекти (ПО) на територията на Община Бяла Слатина, в съответствие с чл. 56 и следващите от Закона за устройство на територията (ЗУТ). </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В настоящия си вариант, някои от текстовете на Наредбата не отговарят на нормативни текстове от по-висока степен, каквото е изискването на чл. 15, ал. 1 от Закона за нормативните актове. Представеният проект на Наредба за изменението на Наредба № 24 за преместваемите обекти и рекламната и информационна дейност на територията на община Бяла Слатина съдържа изменения и допълнения в насока хармонизиране на Наредба № 24 с измененията и допълненията на Закона за енергетиката, обнародвани в Държавен вестник бр. 11 от 02.02.2023 г. </w:t>
      </w:r>
    </w:p>
    <w:p w:rsidR="00842A0E" w:rsidRPr="00D67C70" w:rsidRDefault="00842A0E" w:rsidP="00842A0E">
      <w:pPr>
        <w:pStyle w:val="a3"/>
        <w:numPr>
          <w:ilvl w:val="0"/>
          <w:numId w:val="1"/>
        </w:numPr>
        <w:ind w:left="1276"/>
        <w:jc w:val="both"/>
        <w:rPr>
          <w:rFonts w:ascii="Times New Roman" w:hAnsi="Times New Roman" w:cs="Times New Roman"/>
          <w:sz w:val="24"/>
          <w:szCs w:val="24"/>
        </w:rPr>
      </w:pPr>
      <w:r w:rsidRPr="00D67C70">
        <w:rPr>
          <w:rFonts w:ascii="Times New Roman" w:hAnsi="Times New Roman" w:cs="Times New Roman"/>
          <w:sz w:val="24"/>
          <w:szCs w:val="24"/>
          <w:u w:val="single"/>
        </w:rPr>
        <w:t>Причините, които налагат приемането на Наредба за изменение на Наредба № 24 за преместваемите обекти и рекламната и информационна дейност на територията на община Бяла Слатина</w:t>
      </w:r>
      <w:r w:rsidRPr="00D67C70">
        <w:rPr>
          <w:rFonts w:ascii="Times New Roman" w:hAnsi="Times New Roman" w:cs="Times New Roman"/>
          <w:sz w:val="24"/>
          <w:szCs w:val="24"/>
        </w:rPr>
        <w:t>:</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С измененията в Закона за енергетиката, направени с Държавен вестник бр. 11 от 02.02.2023 г., бе въведена дефиниция за съоръженията за съхранение на електрическа енергия, която изрично предвижда, че те представляват преместваем обект по смисъла на Закона за устройство на територията (ЗУТ). </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Дефиницията е дадена в § 1, т. 61в. от Допълнителните разпоредби на ЗЕ „Съоръжение за съхранение на електрическа енергия" е съоръжение в рамките на електроенергийната система, в което се съхранява енергия, с изключение на съоръженията за съхранение на енергия за собствено потребление на производители или крайни клиенти, което не отдава съхранената електрическа енергия в електропреносната или електроразпределителна мрежа. Електрохимическите съоръжения за съхранение на електрическа енергия представляват преместваеми обекти по смисъла на Закона за устройство на територията. </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С оглед яснота и прецизност на Наредбата, следва да се уточни изрично, че тя се прилага и за съоръженията за съхранение на електрическа енергия. </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Трябва да се отчетат и особеностите на съоръженията за съхранение на електрическа енергия и техническите изисквания за тяхното поставяне и експлоатация</w:t>
      </w:r>
    </w:p>
    <w:p w:rsidR="00842A0E" w:rsidRPr="00D67C70" w:rsidRDefault="00842A0E" w:rsidP="00842A0E">
      <w:pPr>
        <w:pStyle w:val="a3"/>
        <w:numPr>
          <w:ilvl w:val="0"/>
          <w:numId w:val="1"/>
        </w:numPr>
        <w:ind w:left="1276"/>
        <w:jc w:val="both"/>
        <w:rPr>
          <w:rFonts w:ascii="Times New Roman" w:hAnsi="Times New Roman" w:cs="Times New Roman"/>
          <w:sz w:val="24"/>
          <w:szCs w:val="24"/>
        </w:rPr>
      </w:pPr>
      <w:r w:rsidRPr="00D67C70">
        <w:rPr>
          <w:rFonts w:ascii="Times New Roman" w:hAnsi="Times New Roman" w:cs="Times New Roman"/>
          <w:sz w:val="24"/>
          <w:szCs w:val="24"/>
          <w:u w:val="single"/>
        </w:rPr>
        <w:t>Целите, които се поставят</w:t>
      </w:r>
      <w:r w:rsidRPr="00D67C70">
        <w:rPr>
          <w:rFonts w:ascii="Times New Roman" w:hAnsi="Times New Roman" w:cs="Times New Roman"/>
          <w:sz w:val="24"/>
          <w:szCs w:val="24"/>
        </w:rPr>
        <w:t>:</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Настоящият проект за изменение и допълнение на съществуващата Наредба има за цел съобразяване с разпоредбите на нормативен акт от по-висока степен, какъвто се явява Законът за енергетиката, както и прецизиране и преодоляване на </w:t>
      </w:r>
      <w:r w:rsidRPr="00D67C70">
        <w:rPr>
          <w:rFonts w:ascii="Times New Roman" w:hAnsi="Times New Roman" w:cs="Times New Roman"/>
          <w:sz w:val="24"/>
          <w:szCs w:val="24"/>
        </w:rPr>
        <w:lastRenderedPageBreak/>
        <w:t xml:space="preserve">несъвършенствата в действащата регулация на местно ниво, отнасяща се до съоръженията, представляващи преместваеми обекти по смисъла на Закона за устройство на територията. </w:t>
      </w:r>
    </w:p>
    <w:p w:rsidR="00842A0E" w:rsidRPr="00D67C70" w:rsidRDefault="00842A0E" w:rsidP="00842A0E">
      <w:pPr>
        <w:pStyle w:val="a3"/>
        <w:numPr>
          <w:ilvl w:val="0"/>
          <w:numId w:val="1"/>
        </w:numPr>
        <w:ind w:left="1418"/>
        <w:jc w:val="both"/>
        <w:rPr>
          <w:rFonts w:ascii="Times New Roman" w:hAnsi="Times New Roman" w:cs="Times New Roman"/>
          <w:sz w:val="24"/>
          <w:szCs w:val="24"/>
        </w:rPr>
      </w:pPr>
      <w:r w:rsidRPr="00D67C70">
        <w:rPr>
          <w:rFonts w:ascii="Times New Roman" w:hAnsi="Times New Roman" w:cs="Times New Roman"/>
          <w:sz w:val="24"/>
          <w:szCs w:val="24"/>
          <w:u w:val="single"/>
        </w:rPr>
        <w:t>Финансови и други средства, необходими за прилагането на новата уредба</w:t>
      </w:r>
      <w:r w:rsidRPr="00D67C70">
        <w:rPr>
          <w:rFonts w:ascii="Times New Roman" w:hAnsi="Times New Roman" w:cs="Times New Roman"/>
          <w:sz w:val="24"/>
          <w:szCs w:val="24"/>
        </w:rPr>
        <w:t>:</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Не са необходими финансови средства, както и други ресурси за прилагането на Наредбата. Целта на предложения проект на Наредба за изменение на Наредба № 24 за преместваемите обекти и рекламната и информационна дейност на територията на община Бяла Слатина е хармонизация на действащата вторична регулация на местно ниво с изискванията на нормативната уредба от по-висока степен, което не налага използване на допълнителен финансов или друг ресурс.</w:t>
      </w:r>
    </w:p>
    <w:p w:rsidR="00842A0E" w:rsidRPr="00D67C70" w:rsidRDefault="00842A0E" w:rsidP="00842A0E">
      <w:pPr>
        <w:pStyle w:val="a3"/>
        <w:numPr>
          <w:ilvl w:val="0"/>
          <w:numId w:val="1"/>
        </w:numPr>
        <w:ind w:left="1418"/>
        <w:jc w:val="both"/>
        <w:rPr>
          <w:rFonts w:ascii="Times New Roman" w:hAnsi="Times New Roman" w:cs="Times New Roman"/>
          <w:sz w:val="24"/>
          <w:szCs w:val="24"/>
          <w:u w:val="single"/>
        </w:rPr>
      </w:pPr>
      <w:r w:rsidRPr="00D67C70">
        <w:rPr>
          <w:rFonts w:ascii="Times New Roman" w:hAnsi="Times New Roman" w:cs="Times New Roman"/>
          <w:sz w:val="24"/>
          <w:szCs w:val="24"/>
          <w:u w:val="single"/>
        </w:rPr>
        <w:t>Очаквани резултати от прилагането, включително финансовите, ако има такива</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Очакваните резултати от приемането на предложения проект на Наредба за изменение на Наредба № 24 за преместваемите обекти и рекламната и информационна дейност на територията на община Бяла Слатина, наред с вече изложените са: непротиворечива правна уредба на местно ниво с националната нормативна регулация в областта на преместваемите обекти, както и прецизност при регулацията на съоръженията за съхранение на електрическа енергия.</w:t>
      </w:r>
    </w:p>
    <w:p w:rsidR="00842A0E" w:rsidRPr="00D67C70" w:rsidRDefault="00842A0E" w:rsidP="00842A0E">
      <w:pPr>
        <w:pStyle w:val="a3"/>
        <w:numPr>
          <w:ilvl w:val="0"/>
          <w:numId w:val="1"/>
        </w:numPr>
        <w:jc w:val="both"/>
        <w:rPr>
          <w:rFonts w:ascii="Times New Roman" w:hAnsi="Times New Roman" w:cs="Times New Roman"/>
          <w:sz w:val="24"/>
          <w:szCs w:val="24"/>
          <w:u w:val="single"/>
        </w:rPr>
      </w:pPr>
      <w:r w:rsidRPr="00D67C70">
        <w:rPr>
          <w:rFonts w:ascii="Times New Roman" w:hAnsi="Times New Roman" w:cs="Times New Roman"/>
          <w:sz w:val="24"/>
          <w:szCs w:val="24"/>
          <w:u w:val="single"/>
        </w:rPr>
        <w:t>Анализ на съответствието с правото на Европейския съюз</w:t>
      </w:r>
    </w:p>
    <w:p w:rsidR="00842A0E" w:rsidRPr="00D67C70" w:rsidRDefault="00842A0E" w:rsidP="00842A0E">
      <w:pPr>
        <w:ind w:firstLine="708"/>
        <w:jc w:val="both"/>
        <w:rPr>
          <w:rFonts w:ascii="Times New Roman" w:hAnsi="Times New Roman" w:cs="Times New Roman"/>
          <w:sz w:val="24"/>
          <w:szCs w:val="24"/>
        </w:rPr>
      </w:pPr>
      <w:r w:rsidRPr="00D67C70">
        <w:rPr>
          <w:rFonts w:ascii="Times New Roman" w:hAnsi="Times New Roman" w:cs="Times New Roman"/>
          <w:sz w:val="24"/>
          <w:szCs w:val="24"/>
        </w:rPr>
        <w:t xml:space="preserve">Предлаганите изменение в Наредба № 24 за преместваемите обекти и рекламната и информационна дейност на територията на община Бяла Слатина са в съответствие с разпоредбите на приложимото българско право, както и първичните и производни източници по чл. 288 от Договора за функциониране на европейския съюз (ДФЕС), същи и с неписаните вътрешни и външни източници на правото на Европейския съюз. С наредбата не се ограничават специфичните права, респ. задължения, които са предоставени на гражданите на Европейския съюз, регламентирани в чл. 11 от Договора за Европейския съюз (ДЕС) и чл. 20 – 24 ДФЕС, нито пък се нарушаа установения вътрешен пазар, работещ за устойчиво развитие на Европа, основаващ се на балансиран икономически растеж, ценова стабилност, силно конкурентна социална пазарна икономика и високо равнище на защита и подобряване качеството на околната среда (чл. 3, пар. 2 ДЕС вр. Чл. 26, пар. 2 ДФЕС). При изработването на настоящия проект на нормативен акт са взети предвид основополагащите принципи на правото на Европейския съюз. </w:t>
      </w:r>
    </w:p>
    <w:p w:rsidR="00842A0E" w:rsidRPr="00D67C70" w:rsidRDefault="00842A0E" w:rsidP="00842A0E">
      <w:pPr>
        <w:pStyle w:val="a3"/>
        <w:numPr>
          <w:ilvl w:val="0"/>
          <w:numId w:val="1"/>
        </w:numPr>
        <w:jc w:val="both"/>
        <w:rPr>
          <w:rFonts w:ascii="Times New Roman" w:hAnsi="Times New Roman" w:cs="Times New Roman"/>
          <w:sz w:val="24"/>
          <w:szCs w:val="24"/>
        </w:rPr>
      </w:pPr>
      <w:r w:rsidRPr="00D67C70">
        <w:rPr>
          <w:rFonts w:ascii="Times New Roman" w:hAnsi="Times New Roman" w:cs="Times New Roman"/>
          <w:sz w:val="24"/>
          <w:szCs w:val="24"/>
          <w:u w:val="single"/>
        </w:rPr>
        <w:t>Предлагани промени</w:t>
      </w:r>
    </w:p>
    <w:p w:rsidR="00842A0E" w:rsidRPr="00D67C70" w:rsidRDefault="00842A0E" w:rsidP="00842A0E">
      <w:pPr>
        <w:pStyle w:val="a3"/>
        <w:ind w:left="1776"/>
        <w:jc w:val="both"/>
        <w:rPr>
          <w:rFonts w:ascii="Times New Roman" w:hAnsi="Times New Roman" w:cs="Times New Roman"/>
          <w:sz w:val="24"/>
          <w:szCs w:val="24"/>
        </w:rPr>
      </w:pPr>
    </w:p>
    <w:p w:rsidR="00842A0E" w:rsidRPr="00D67C70" w:rsidRDefault="00842A0E" w:rsidP="00842A0E">
      <w:pPr>
        <w:pStyle w:val="a3"/>
        <w:numPr>
          <w:ilvl w:val="0"/>
          <w:numId w:val="6"/>
        </w:numPr>
        <w:ind w:left="0" w:firstLine="0"/>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Изменение в чл. 2, ал. 1, т. 1 от Наредбата</w:t>
      </w:r>
    </w:p>
    <w:p w:rsidR="00842A0E" w:rsidRPr="00D67C70" w:rsidRDefault="00842A0E" w:rsidP="00842A0E">
      <w:pPr>
        <w:ind w:firstLine="708"/>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Действаща разпоредба:</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Чл. 2. (1) Според срока, за който се издава разрешение за поставяне, преместваемите обекти могат да бъдат:</w:t>
      </w:r>
    </w:p>
    <w:p w:rsidR="00842A0E" w:rsidRPr="00D67C70" w:rsidRDefault="00842A0E" w:rsidP="00842A0E">
      <w:pPr>
        <w:pStyle w:val="a3"/>
        <w:numPr>
          <w:ilvl w:val="0"/>
          <w:numId w:val="12"/>
        </w:numPr>
        <w:ind w:left="0" w:firstLine="0"/>
        <w:jc w:val="both"/>
        <w:rPr>
          <w:rFonts w:ascii="Times New Roman" w:hAnsi="Times New Roman" w:cs="Times New Roman"/>
          <w:bCs/>
          <w:sz w:val="24"/>
          <w:szCs w:val="24"/>
        </w:rPr>
      </w:pPr>
      <w:r w:rsidRPr="00D67C70">
        <w:rPr>
          <w:rFonts w:ascii="Times New Roman" w:hAnsi="Times New Roman" w:cs="Times New Roman"/>
          <w:bCs/>
          <w:sz w:val="24"/>
          <w:szCs w:val="24"/>
        </w:rPr>
        <w:lastRenderedPageBreak/>
        <w:t>Годишни / за срок до възникване на инвестиционна инициатива за реализиране предвижданията на подробния устройствен план, но не повече от 3 години</w:t>
      </w:r>
      <w:r w:rsidRPr="00D67C70">
        <w:rPr>
          <w:rFonts w:ascii="Times New Roman" w:hAnsi="Times New Roman" w:cs="Times New Roman"/>
          <w:color w:val="FF0000"/>
          <w:sz w:val="24"/>
          <w:szCs w:val="24"/>
        </w:rPr>
        <w:t xml:space="preserve"> </w:t>
      </w:r>
      <w:r w:rsidRPr="00D67C70">
        <w:rPr>
          <w:rFonts w:ascii="Times New Roman" w:hAnsi="Times New Roman" w:cs="Times New Roman"/>
          <w:bCs/>
          <w:sz w:val="24"/>
          <w:szCs w:val="24"/>
        </w:rPr>
        <w:t>/- разположени по схема за поставяне, която се одобрява от Главният архитект на общината.</w:t>
      </w:r>
    </w:p>
    <w:p w:rsidR="00842A0E" w:rsidRPr="00D67C70" w:rsidRDefault="00842A0E" w:rsidP="00842A0E">
      <w:pPr>
        <w:ind w:firstLine="708"/>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 xml:space="preserve">Предлагана промяна: </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Чл. 2. (1) Според срока, за който се издава разрешение за поставяне, преместваемите обекти могат да бъдат:</w:t>
      </w:r>
    </w:p>
    <w:p w:rsidR="00842A0E" w:rsidRPr="00D67C70" w:rsidRDefault="00842A0E" w:rsidP="00842A0E">
      <w:pPr>
        <w:pStyle w:val="a3"/>
        <w:numPr>
          <w:ilvl w:val="0"/>
          <w:numId w:val="11"/>
        </w:numPr>
        <w:ind w:left="0" w:firstLine="0"/>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(Доп., приета с Решение № [.]/[.] на ОС – Бяла Слатина, вл. в сила на [.]) </w:t>
      </w:r>
      <w:r w:rsidRPr="00D67C70">
        <w:rPr>
          <w:rFonts w:ascii="Times New Roman" w:hAnsi="Times New Roman" w:cs="Times New Roman"/>
          <w:bCs/>
          <w:sz w:val="24"/>
          <w:szCs w:val="24"/>
        </w:rPr>
        <w:t>Годишни / за срок до възникване на инвестиционна инициатива за реализиране предвижданията на подробния устройствен план, но не повече от 3 години/- разположени по схема за поставяне, която се одобрява от Главният архитект на общината</w:t>
      </w:r>
      <w:r w:rsidRPr="00D67C70">
        <w:rPr>
          <w:rFonts w:ascii="Times New Roman" w:hAnsi="Times New Roman" w:cs="Times New Roman"/>
          <w:sz w:val="24"/>
          <w:szCs w:val="24"/>
        </w:rPr>
        <w:t xml:space="preserve"> </w:t>
      </w:r>
      <w:r w:rsidRPr="00D67C70">
        <w:rPr>
          <w:rFonts w:ascii="Times New Roman" w:hAnsi="Times New Roman" w:cs="Times New Roman"/>
          <w:bCs/>
          <w:color w:val="FF0000"/>
          <w:sz w:val="24"/>
          <w:szCs w:val="24"/>
        </w:rPr>
        <w:t>а за системи/съоръжения за съхранение на електрическа енергия не може да бъде за срок, по-дълъг от 20 години, освен в случаите, когато разрешението за поставяне е върху земеделски земи, когато срокът не може да бъде по-дълъг от 10 години на основание чл. 59а ППЗОЗЗ.</w:t>
      </w:r>
    </w:p>
    <w:p w:rsidR="00842A0E" w:rsidRPr="00D67C70" w:rsidRDefault="00842A0E" w:rsidP="00842A0E">
      <w:pPr>
        <w:pStyle w:val="a3"/>
        <w:ind w:left="0"/>
        <w:jc w:val="both"/>
        <w:rPr>
          <w:rFonts w:ascii="Times New Roman" w:hAnsi="Times New Roman" w:cs="Times New Roman"/>
          <w:bCs/>
          <w:sz w:val="24"/>
          <w:szCs w:val="24"/>
        </w:rPr>
      </w:pPr>
    </w:p>
    <w:p w:rsidR="00842A0E" w:rsidRPr="00D67C70" w:rsidRDefault="00842A0E" w:rsidP="00842A0E">
      <w:pPr>
        <w:pStyle w:val="a3"/>
        <w:numPr>
          <w:ilvl w:val="0"/>
          <w:numId w:val="6"/>
        </w:numPr>
        <w:ind w:left="0" w:firstLine="0"/>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Изменение в чл. 2, ал. 2 от Наредбата</w:t>
      </w:r>
    </w:p>
    <w:p w:rsidR="00842A0E" w:rsidRPr="00D67C70" w:rsidRDefault="00842A0E" w:rsidP="00842A0E">
      <w:pPr>
        <w:ind w:firstLine="708"/>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Действаща разпоредба:</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Чл. 2. (2) По вид преместваемите обекти могат да бъдат:</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Павилиони, с площ до 30 кв. м. и височина до 3,50м.;</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Маси - до 6 кв. м. със сенник, чадър или тента, не по-ниски от 2,50 м. от нивото на терена;</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Автомати за топли напитки, безалкохолни напитки, бира, пакетирани закуски и др.</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Подиуми;</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Навеси, не по-ниски от 3.20 м. от нивото на терена</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Елементи на градското обзавеждане - спирки на градския транспорт, пейки, други трайно поставени елементи на обществената инфраструктура, детски атракционни съоръжения и други;</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Гаражни клетки с площ до 24 кв. метра;</w:t>
      </w:r>
    </w:p>
    <w:p w:rsidR="00842A0E" w:rsidRPr="00D67C70" w:rsidRDefault="00842A0E" w:rsidP="00842A0E">
      <w:pPr>
        <w:pStyle w:val="a3"/>
        <w:numPr>
          <w:ilvl w:val="0"/>
          <w:numId w:val="15"/>
        </w:numPr>
        <w:jc w:val="both"/>
        <w:rPr>
          <w:rFonts w:ascii="Times New Roman" w:hAnsi="Times New Roman" w:cs="Times New Roman"/>
          <w:bCs/>
          <w:sz w:val="24"/>
          <w:szCs w:val="24"/>
        </w:rPr>
      </w:pPr>
      <w:r w:rsidRPr="00D67C70">
        <w:rPr>
          <w:rFonts w:ascii="Times New Roman" w:hAnsi="Times New Roman" w:cs="Times New Roman"/>
          <w:bCs/>
          <w:sz w:val="24"/>
          <w:szCs w:val="24"/>
        </w:rPr>
        <w:t>Други обекти, по смисъла на чл. 56, ал. 1 от ЗУТ, с площ не по- голяма от 30 кв. метра.</w:t>
      </w:r>
    </w:p>
    <w:p w:rsidR="00842A0E" w:rsidRPr="00D67C70" w:rsidRDefault="00842A0E" w:rsidP="00842A0E">
      <w:pPr>
        <w:ind w:firstLine="360"/>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 xml:space="preserve">Предлагана промяна: </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 xml:space="preserve">Чл. 2. (2) </w:t>
      </w:r>
      <w:r w:rsidRPr="00D67C70">
        <w:rPr>
          <w:rFonts w:ascii="Times New Roman" w:hAnsi="Times New Roman" w:cs="Times New Roman"/>
          <w:color w:val="FF0000"/>
          <w:sz w:val="24"/>
          <w:szCs w:val="24"/>
        </w:rPr>
        <w:t xml:space="preserve">(Доп., приета с Решение № [.]/[.] на ОС – Бяла Слатина, вл. в сила на [.]) </w:t>
      </w:r>
      <w:r w:rsidRPr="00D67C70">
        <w:rPr>
          <w:rFonts w:ascii="Times New Roman" w:hAnsi="Times New Roman" w:cs="Times New Roman"/>
          <w:bCs/>
          <w:sz w:val="24"/>
          <w:szCs w:val="24"/>
        </w:rPr>
        <w:t>По вид преместваемите обекти могат да бъдат:</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bCs/>
          <w:sz w:val="24"/>
          <w:szCs w:val="24"/>
        </w:rPr>
        <w:t>Павилиони, с площ до 30 кв. м. и височина до 3,50м.;</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bCs/>
          <w:sz w:val="24"/>
          <w:szCs w:val="24"/>
        </w:rPr>
        <w:t>Маси - до 6 кв. м. със сенник, чадър или тента, не по-ниски от 2,50 м. от нивото на терена;</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bCs/>
          <w:sz w:val="24"/>
          <w:szCs w:val="24"/>
        </w:rPr>
        <w:t>Автомати за топли напитки, безалкохолни напитки, бира, пакетирани закуски и др.</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bCs/>
          <w:sz w:val="24"/>
          <w:szCs w:val="24"/>
        </w:rPr>
        <w:t>Подиуми;</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bCs/>
          <w:sz w:val="24"/>
          <w:szCs w:val="24"/>
        </w:rPr>
        <w:t>Навеси, не по-ниски от 3.20 м. от нивото на терена</w:t>
      </w:r>
    </w:p>
    <w:p w:rsidR="00842A0E" w:rsidRPr="00D67C70" w:rsidRDefault="00842A0E" w:rsidP="00842A0E">
      <w:pPr>
        <w:pStyle w:val="a3"/>
        <w:numPr>
          <w:ilvl w:val="0"/>
          <w:numId w:val="16"/>
        </w:numPr>
        <w:jc w:val="both"/>
        <w:rPr>
          <w:rFonts w:ascii="Times New Roman" w:hAnsi="Times New Roman" w:cs="Times New Roman"/>
          <w:bCs/>
          <w:color w:val="FF0000"/>
          <w:sz w:val="24"/>
          <w:szCs w:val="24"/>
        </w:rPr>
      </w:pPr>
      <w:r w:rsidRPr="00D67C70">
        <w:rPr>
          <w:rFonts w:ascii="Times New Roman" w:hAnsi="Times New Roman" w:cs="Times New Roman"/>
          <w:color w:val="FF0000"/>
          <w:sz w:val="24"/>
          <w:szCs w:val="24"/>
        </w:rPr>
        <w:t>Съоръжения за съхранение на електрическа енергия</w:t>
      </w:r>
    </w:p>
    <w:p w:rsidR="00842A0E" w:rsidRPr="00D67C70" w:rsidRDefault="00842A0E" w:rsidP="00B832B8">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lastRenderedPageBreak/>
        <w:t xml:space="preserve">(Предишна т. 6) </w:t>
      </w:r>
      <w:r w:rsidRPr="00D67C70">
        <w:rPr>
          <w:rFonts w:ascii="Times New Roman" w:hAnsi="Times New Roman" w:cs="Times New Roman"/>
          <w:bCs/>
          <w:sz w:val="24"/>
          <w:szCs w:val="24"/>
        </w:rPr>
        <w:t xml:space="preserve">Елементи на градското обзавеждане - спирки на градския транспорт, пейки, </w:t>
      </w:r>
      <w:r w:rsidR="00B832B8" w:rsidRPr="00B832B8">
        <w:rPr>
          <w:rFonts w:ascii="Times New Roman" w:hAnsi="Times New Roman" w:cs="Times New Roman"/>
          <w:bCs/>
          <w:color w:val="FF0000"/>
          <w:sz w:val="24"/>
          <w:szCs w:val="24"/>
        </w:rPr>
        <w:t xml:space="preserve">зарядни колонки за електрически превозни средства, </w:t>
      </w:r>
      <w:r w:rsidRPr="00D67C70">
        <w:rPr>
          <w:rFonts w:ascii="Times New Roman" w:hAnsi="Times New Roman" w:cs="Times New Roman"/>
          <w:bCs/>
          <w:sz w:val="24"/>
          <w:szCs w:val="24"/>
        </w:rPr>
        <w:t>други трайно поставени елементи на обществената инфраструктура, детски атракционни съоръжения и други;</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7) </w:t>
      </w:r>
      <w:r w:rsidRPr="00D67C70">
        <w:rPr>
          <w:rFonts w:ascii="Times New Roman" w:hAnsi="Times New Roman" w:cs="Times New Roman"/>
          <w:bCs/>
          <w:sz w:val="24"/>
          <w:szCs w:val="24"/>
        </w:rPr>
        <w:t>Гаражни клетки с площ до 24 кв. метра;</w:t>
      </w:r>
    </w:p>
    <w:p w:rsidR="00842A0E" w:rsidRPr="00D67C70" w:rsidRDefault="00842A0E" w:rsidP="00842A0E">
      <w:pPr>
        <w:pStyle w:val="a3"/>
        <w:numPr>
          <w:ilvl w:val="0"/>
          <w:numId w:val="16"/>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8) </w:t>
      </w:r>
      <w:r w:rsidRPr="00D67C70">
        <w:rPr>
          <w:rFonts w:ascii="Times New Roman" w:hAnsi="Times New Roman" w:cs="Times New Roman"/>
          <w:bCs/>
          <w:sz w:val="24"/>
          <w:szCs w:val="24"/>
        </w:rPr>
        <w:t>Други обекти, по смисъла на чл. 56, ал. 1 от ЗУТ, с площ не по- голяма от 30 кв. метра.</w:t>
      </w:r>
    </w:p>
    <w:p w:rsidR="00842A0E" w:rsidRPr="00D67C70" w:rsidRDefault="00842A0E" w:rsidP="00842A0E">
      <w:pPr>
        <w:pStyle w:val="a3"/>
        <w:ind w:left="0"/>
        <w:jc w:val="both"/>
        <w:rPr>
          <w:rFonts w:ascii="Times New Roman" w:hAnsi="Times New Roman" w:cs="Times New Roman"/>
          <w:b/>
          <w:bCs/>
          <w:sz w:val="24"/>
          <w:szCs w:val="24"/>
        </w:rPr>
      </w:pPr>
    </w:p>
    <w:p w:rsidR="00842A0E" w:rsidRPr="00D67C70" w:rsidRDefault="00842A0E" w:rsidP="00842A0E">
      <w:pPr>
        <w:pStyle w:val="a3"/>
        <w:numPr>
          <w:ilvl w:val="0"/>
          <w:numId w:val="6"/>
        </w:numPr>
        <w:ind w:left="0" w:firstLine="0"/>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Изменение в чл. 6, ал. 1 от Наредбата:</w:t>
      </w:r>
    </w:p>
    <w:p w:rsidR="00842A0E" w:rsidRPr="00D67C70" w:rsidRDefault="00842A0E" w:rsidP="00842A0E">
      <w:pPr>
        <w:ind w:firstLine="708"/>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Действаща разпоредба:</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Чл. 6. (1) Разрешението за поставяне на преместваеми обекти се издава по образец, одобрен от Кмета на Общината, като в него задължително се посочват:</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Трите имена и постоянния адрес на физическите лица, съответно наименованието, единния идентификационен код, адреса на управление, правно-организационната форма и имената на представляващия на юридическите лица;</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Имота, в който се постави обекта и собственика на същия;</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Площта, която заема преместваемият обект;</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Дължимата такса, определена съгласно Наредба № 5 на Общинския съвет гр.Бяла Слатина;</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Срокът, за който се разрешава поставянето;</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Условията за експлоатация, поддръжка и хигиената на прилежащите площи;</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Указания за типа и външния вид на преместваемия обект.</w:t>
      </w:r>
    </w:p>
    <w:p w:rsidR="00842A0E" w:rsidRPr="00D67C70" w:rsidRDefault="00842A0E" w:rsidP="00842A0E">
      <w:pPr>
        <w:pStyle w:val="a3"/>
        <w:numPr>
          <w:ilvl w:val="0"/>
          <w:numId w:val="17"/>
        </w:numPr>
        <w:jc w:val="both"/>
        <w:rPr>
          <w:rFonts w:ascii="Times New Roman" w:hAnsi="Times New Roman" w:cs="Times New Roman"/>
          <w:bCs/>
          <w:sz w:val="24"/>
          <w:szCs w:val="24"/>
        </w:rPr>
      </w:pPr>
      <w:r w:rsidRPr="00D67C70">
        <w:rPr>
          <w:rFonts w:ascii="Times New Roman" w:hAnsi="Times New Roman" w:cs="Times New Roman"/>
          <w:bCs/>
          <w:sz w:val="24"/>
          <w:szCs w:val="24"/>
        </w:rPr>
        <w:t>Договор за наем на общински (държавни) имоти когато обекта се поставя в УПИ – общинска или държавна собственост.</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(2) Разрешението за поставяне на преместваем обект се издава в 7-дневен срок, считано от датата на заплащане на:</w:t>
      </w:r>
    </w:p>
    <w:p w:rsidR="00842A0E" w:rsidRPr="00D67C70" w:rsidRDefault="00842A0E" w:rsidP="00842A0E">
      <w:pPr>
        <w:pStyle w:val="a3"/>
        <w:numPr>
          <w:ilvl w:val="0"/>
          <w:numId w:val="18"/>
        </w:numPr>
        <w:jc w:val="both"/>
        <w:rPr>
          <w:rFonts w:ascii="Times New Roman" w:hAnsi="Times New Roman" w:cs="Times New Roman"/>
          <w:bCs/>
          <w:sz w:val="24"/>
          <w:szCs w:val="24"/>
        </w:rPr>
      </w:pPr>
      <w:r w:rsidRPr="00D67C70">
        <w:rPr>
          <w:rFonts w:ascii="Times New Roman" w:hAnsi="Times New Roman" w:cs="Times New Roman"/>
          <w:bCs/>
          <w:sz w:val="24"/>
          <w:szCs w:val="24"/>
        </w:rPr>
        <w:t>Такса за издаване на разрешение;</w:t>
      </w:r>
    </w:p>
    <w:p w:rsidR="00842A0E" w:rsidRPr="00D67C70" w:rsidRDefault="00842A0E" w:rsidP="00842A0E">
      <w:pPr>
        <w:pStyle w:val="a3"/>
        <w:numPr>
          <w:ilvl w:val="0"/>
          <w:numId w:val="18"/>
        </w:numPr>
        <w:jc w:val="both"/>
        <w:rPr>
          <w:rFonts w:ascii="Times New Roman" w:hAnsi="Times New Roman" w:cs="Times New Roman"/>
          <w:bCs/>
          <w:sz w:val="24"/>
          <w:szCs w:val="24"/>
        </w:rPr>
      </w:pPr>
      <w:r w:rsidRPr="00D67C70">
        <w:rPr>
          <w:rFonts w:ascii="Times New Roman" w:hAnsi="Times New Roman" w:cs="Times New Roman"/>
          <w:bCs/>
          <w:sz w:val="24"/>
          <w:szCs w:val="24"/>
        </w:rPr>
        <w:t>Дължимата такса за първия месец от действието на разрешението за обекти по чл. 2, ал.2, т2, 3 и 4;</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(3) Разрешението не може да бъде със срок по-дълъг от 3 години.</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(4) Разрешение за поставяне на обекти по чл. 2 ал. 2 т. 6 може да се издаде и за група елементи на градското обзавеждане.</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t>(5) Не се издава разрешение за поставяне на преместваеми обекти на лица:</w:t>
      </w:r>
    </w:p>
    <w:p w:rsidR="00842A0E" w:rsidRPr="00D67C70" w:rsidRDefault="00842A0E" w:rsidP="00842A0E">
      <w:pPr>
        <w:pStyle w:val="a3"/>
        <w:numPr>
          <w:ilvl w:val="0"/>
          <w:numId w:val="19"/>
        </w:numPr>
        <w:jc w:val="both"/>
        <w:rPr>
          <w:rFonts w:ascii="Times New Roman" w:hAnsi="Times New Roman" w:cs="Times New Roman"/>
          <w:bCs/>
          <w:sz w:val="24"/>
          <w:szCs w:val="24"/>
        </w:rPr>
      </w:pPr>
      <w:r w:rsidRPr="00D67C70">
        <w:rPr>
          <w:rFonts w:ascii="Times New Roman" w:hAnsi="Times New Roman" w:cs="Times New Roman"/>
          <w:bCs/>
          <w:sz w:val="24"/>
          <w:szCs w:val="24"/>
        </w:rPr>
        <w:t>Които не са представили всички изискуеми документи по чл. 5, ал. 1, респективно представените документи не отговарят на изискванията;</w:t>
      </w:r>
    </w:p>
    <w:p w:rsidR="00842A0E" w:rsidRPr="00D67C70" w:rsidRDefault="00842A0E" w:rsidP="00842A0E">
      <w:pPr>
        <w:pStyle w:val="a3"/>
        <w:numPr>
          <w:ilvl w:val="0"/>
          <w:numId w:val="19"/>
        </w:numPr>
        <w:jc w:val="both"/>
        <w:rPr>
          <w:rFonts w:ascii="Times New Roman" w:hAnsi="Times New Roman" w:cs="Times New Roman"/>
          <w:bCs/>
          <w:sz w:val="24"/>
          <w:szCs w:val="24"/>
        </w:rPr>
      </w:pPr>
      <w:r w:rsidRPr="00D67C70">
        <w:rPr>
          <w:rFonts w:ascii="Times New Roman" w:hAnsi="Times New Roman" w:cs="Times New Roman"/>
          <w:bCs/>
          <w:sz w:val="24"/>
          <w:szCs w:val="24"/>
        </w:rPr>
        <w:t>По отношение на които са налице влезли в сила заповеди за премахване по реда на чл. 57а от ЗУТ в рамките на три календарни години, следващи годината през която заповедта е влязла в сила.</w:t>
      </w:r>
    </w:p>
    <w:p w:rsidR="00842A0E" w:rsidRPr="00D67C70" w:rsidRDefault="00842A0E" w:rsidP="00842A0E">
      <w:pPr>
        <w:ind w:firstLine="360"/>
        <w:jc w:val="both"/>
        <w:rPr>
          <w:rFonts w:ascii="Times New Roman" w:hAnsi="Times New Roman" w:cs="Times New Roman"/>
          <w:bCs/>
          <w:sz w:val="24"/>
          <w:szCs w:val="24"/>
          <w:u w:val="single"/>
        </w:rPr>
      </w:pPr>
      <w:r w:rsidRPr="00D67C70">
        <w:rPr>
          <w:rFonts w:ascii="Times New Roman" w:hAnsi="Times New Roman" w:cs="Times New Roman"/>
          <w:bCs/>
          <w:sz w:val="24"/>
          <w:szCs w:val="24"/>
          <w:u w:val="single"/>
        </w:rPr>
        <w:t xml:space="preserve">Предлагана промяна: </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sz w:val="24"/>
          <w:szCs w:val="24"/>
        </w:rPr>
        <w:lastRenderedPageBreak/>
        <w:t xml:space="preserve">Чл. 6. (1) </w:t>
      </w:r>
      <w:r w:rsidRPr="00D67C70">
        <w:rPr>
          <w:rFonts w:ascii="Times New Roman" w:hAnsi="Times New Roman" w:cs="Times New Roman"/>
          <w:color w:val="FF0000"/>
          <w:sz w:val="24"/>
          <w:szCs w:val="24"/>
        </w:rPr>
        <w:t xml:space="preserve">(Доп., приета с Решение № [.]/[.] на ОС – Бяла Слатина, вл. в сила на [.]) </w:t>
      </w:r>
      <w:r w:rsidRPr="00D67C70">
        <w:rPr>
          <w:rFonts w:ascii="Times New Roman" w:hAnsi="Times New Roman" w:cs="Times New Roman"/>
          <w:bCs/>
          <w:sz w:val="24"/>
          <w:szCs w:val="24"/>
        </w:rPr>
        <w:t>Разрешението за поставяне на преместваеми обекти се издава по образец, одобрен от Кмета на Общината, като в него задължително се посочват:</w:t>
      </w:r>
    </w:p>
    <w:p w:rsidR="00842A0E" w:rsidRPr="00D67C70" w:rsidRDefault="00842A0E" w:rsidP="00842A0E">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bCs/>
          <w:sz w:val="24"/>
          <w:szCs w:val="24"/>
        </w:rPr>
        <w:t>Трите имена и постоянния адрес на физическите лица, съответно наименованието, единния идентификационен код, адреса на управление, правно-организационната форма и имената на представляващия на юридическите лица;</w:t>
      </w:r>
    </w:p>
    <w:p w:rsidR="00842A0E" w:rsidRPr="00D67C70" w:rsidRDefault="00842A0E" w:rsidP="00842A0E">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bCs/>
          <w:sz w:val="24"/>
          <w:szCs w:val="24"/>
        </w:rPr>
        <w:t>Имота, в който се постави обекта и собственика на същия;</w:t>
      </w:r>
    </w:p>
    <w:p w:rsidR="00842A0E" w:rsidRPr="00D67C70" w:rsidRDefault="00842A0E" w:rsidP="00842A0E">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bCs/>
          <w:sz w:val="24"/>
          <w:szCs w:val="24"/>
        </w:rPr>
        <w:t>Площта, която заема преместваемият обект;</w:t>
      </w:r>
    </w:p>
    <w:p w:rsidR="00842A0E" w:rsidRPr="00D67C70" w:rsidRDefault="00842A0E" w:rsidP="00B832B8">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bCs/>
          <w:color w:val="FF0000"/>
          <w:sz w:val="24"/>
          <w:szCs w:val="24"/>
        </w:rPr>
        <w:t xml:space="preserve">Необходимостта от изграждане на </w:t>
      </w:r>
      <w:r w:rsidR="00B832B8" w:rsidRPr="00B832B8">
        <w:rPr>
          <w:rFonts w:ascii="Times New Roman" w:hAnsi="Times New Roman" w:cs="Times New Roman"/>
          <w:bCs/>
          <w:color w:val="FF0000"/>
          <w:sz w:val="24"/>
          <w:szCs w:val="24"/>
        </w:rPr>
        <w:t xml:space="preserve">конструктивен елемент по ал. 2, който е неразделна част от </w:t>
      </w:r>
      <w:r w:rsidRPr="00D67C70">
        <w:rPr>
          <w:rFonts w:ascii="Times New Roman" w:hAnsi="Times New Roman" w:cs="Times New Roman"/>
          <w:bCs/>
          <w:color w:val="FF0000"/>
          <w:sz w:val="24"/>
          <w:szCs w:val="24"/>
        </w:rPr>
        <w:t>преместваемия обект и изискванията за него – площ, дебелина, използвани материали</w:t>
      </w:r>
      <w:r w:rsidRPr="00D67C70">
        <w:rPr>
          <w:rFonts w:ascii="Times New Roman" w:hAnsi="Times New Roman" w:cs="Times New Roman"/>
          <w:bCs/>
          <w:sz w:val="24"/>
          <w:szCs w:val="24"/>
        </w:rPr>
        <w:t xml:space="preserve">;   </w:t>
      </w:r>
    </w:p>
    <w:p w:rsidR="00D67C70" w:rsidRPr="00D67C70" w:rsidRDefault="00D67C70" w:rsidP="00D67C70">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4) </w:t>
      </w:r>
      <w:r w:rsidRPr="00D67C70">
        <w:rPr>
          <w:rFonts w:ascii="Times New Roman" w:hAnsi="Times New Roman" w:cs="Times New Roman"/>
          <w:bCs/>
          <w:sz w:val="24"/>
          <w:szCs w:val="24"/>
        </w:rPr>
        <w:t>Дължимата такса, определена съгласно Наредба № 5 на Общинския съвет гр.</w:t>
      </w:r>
      <w:r w:rsidR="008C089C">
        <w:rPr>
          <w:rFonts w:ascii="Times New Roman" w:hAnsi="Times New Roman" w:cs="Times New Roman"/>
          <w:bCs/>
          <w:sz w:val="24"/>
          <w:szCs w:val="24"/>
        </w:rPr>
        <w:t xml:space="preserve"> </w:t>
      </w:r>
      <w:r w:rsidRPr="00D67C70">
        <w:rPr>
          <w:rFonts w:ascii="Times New Roman" w:hAnsi="Times New Roman" w:cs="Times New Roman"/>
          <w:bCs/>
          <w:sz w:val="24"/>
          <w:szCs w:val="24"/>
        </w:rPr>
        <w:t>Бяла Слатина;</w:t>
      </w:r>
    </w:p>
    <w:p w:rsidR="00D67C70" w:rsidRPr="00D67C70" w:rsidRDefault="00D67C70" w:rsidP="00D67C70">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5) </w:t>
      </w:r>
      <w:r w:rsidRPr="00D67C70">
        <w:rPr>
          <w:rFonts w:ascii="Times New Roman" w:hAnsi="Times New Roman" w:cs="Times New Roman"/>
          <w:bCs/>
          <w:sz w:val="24"/>
          <w:szCs w:val="24"/>
        </w:rPr>
        <w:t>Срокът, за който се разрешава поставянето;</w:t>
      </w:r>
    </w:p>
    <w:p w:rsidR="00D67C70" w:rsidRPr="00D67C70" w:rsidRDefault="00D67C70" w:rsidP="00D67C70">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6) </w:t>
      </w:r>
      <w:r w:rsidRPr="00D67C70">
        <w:rPr>
          <w:rFonts w:ascii="Times New Roman" w:hAnsi="Times New Roman" w:cs="Times New Roman"/>
          <w:bCs/>
          <w:sz w:val="24"/>
          <w:szCs w:val="24"/>
        </w:rPr>
        <w:t>Условията за експлоатация, поддръжка и хигиената на прилежащите площи;</w:t>
      </w:r>
    </w:p>
    <w:p w:rsidR="00D67C70" w:rsidRPr="00D67C70" w:rsidRDefault="00D67C70" w:rsidP="00D67C70">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7) </w:t>
      </w:r>
      <w:r w:rsidRPr="00D67C70">
        <w:rPr>
          <w:rFonts w:ascii="Times New Roman" w:hAnsi="Times New Roman" w:cs="Times New Roman"/>
          <w:bCs/>
          <w:sz w:val="24"/>
          <w:szCs w:val="24"/>
        </w:rPr>
        <w:t>Указания за типа и външния вид на преместваемия обект.</w:t>
      </w:r>
    </w:p>
    <w:p w:rsidR="00D67C70" w:rsidRPr="00D67C70" w:rsidRDefault="00D67C70" w:rsidP="00D67C70">
      <w:pPr>
        <w:pStyle w:val="a3"/>
        <w:numPr>
          <w:ilvl w:val="0"/>
          <w:numId w:val="20"/>
        </w:numPr>
        <w:jc w:val="both"/>
        <w:rPr>
          <w:rFonts w:ascii="Times New Roman" w:hAnsi="Times New Roman" w:cs="Times New Roman"/>
          <w:bCs/>
          <w:sz w:val="24"/>
          <w:szCs w:val="24"/>
        </w:rPr>
      </w:pPr>
      <w:r w:rsidRPr="00D67C70">
        <w:rPr>
          <w:rFonts w:ascii="Times New Roman" w:hAnsi="Times New Roman" w:cs="Times New Roman"/>
          <w:color w:val="FF0000"/>
          <w:sz w:val="24"/>
          <w:szCs w:val="24"/>
        </w:rPr>
        <w:t xml:space="preserve">(Предишна т. 8) </w:t>
      </w:r>
      <w:r w:rsidRPr="00D67C70">
        <w:rPr>
          <w:rFonts w:ascii="Times New Roman" w:hAnsi="Times New Roman" w:cs="Times New Roman"/>
          <w:bCs/>
          <w:sz w:val="24"/>
          <w:szCs w:val="24"/>
        </w:rPr>
        <w:t>Договор за наем на общински (държавни) имоти когато обекта се поставя в УПИ – общинска или държавна собственост.</w:t>
      </w:r>
    </w:p>
    <w:p w:rsidR="00842A0E" w:rsidRPr="00D67C70" w:rsidRDefault="00D67C70" w:rsidP="00D67C70">
      <w:pPr>
        <w:jc w:val="both"/>
        <w:rPr>
          <w:rFonts w:ascii="Times New Roman" w:hAnsi="Times New Roman" w:cs="Times New Roman"/>
          <w:color w:val="FF0000"/>
          <w:sz w:val="24"/>
          <w:szCs w:val="24"/>
        </w:rPr>
      </w:pPr>
      <w:r w:rsidRPr="00D67C70">
        <w:rPr>
          <w:rFonts w:ascii="Times New Roman" w:hAnsi="Times New Roman" w:cs="Times New Roman"/>
          <w:color w:val="FF0000"/>
          <w:sz w:val="24"/>
          <w:szCs w:val="24"/>
        </w:rPr>
        <w:t xml:space="preserve"> </w:t>
      </w:r>
      <w:r w:rsidR="00842A0E" w:rsidRPr="00D67C70">
        <w:rPr>
          <w:rFonts w:ascii="Times New Roman" w:hAnsi="Times New Roman" w:cs="Times New Roman"/>
          <w:color w:val="FF0000"/>
          <w:sz w:val="24"/>
          <w:szCs w:val="24"/>
        </w:rPr>
        <w:t xml:space="preserve">(2) (Нова, приета с Решение № [.]/[.] на ОС – Бяла Слатина, вл. в сила на [.]) В случаите, в които поставянето на преместваем обект или рекламен елемент </w:t>
      </w:r>
      <w:r w:rsidR="00B832B8" w:rsidRPr="00B832B8">
        <w:rPr>
          <w:rFonts w:ascii="Times New Roman" w:hAnsi="Times New Roman" w:cs="Times New Roman"/>
          <w:color w:val="FF0000"/>
          <w:sz w:val="24"/>
          <w:szCs w:val="24"/>
        </w:rPr>
        <w:t>изисква отнемане на повърхностния слой и поставяне на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w:t>
      </w:r>
      <w:r w:rsidR="00B832B8">
        <w:rPr>
          <w:rFonts w:ascii="Times New Roman" w:hAnsi="Times New Roman" w:cs="Times New Roman"/>
          <w:color w:val="FF0000"/>
          <w:sz w:val="24"/>
          <w:szCs w:val="24"/>
        </w:rPr>
        <w:t>ане на строеж, изграждането на същия</w:t>
      </w:r>
      <w:r w:rsidR="00842A0E" w:rsidRPr="00D67C70">
        <w:rPr>
          <w:rFonts w:ascii="Times New Roman" w:hAnsi="Times New Roman" w:cs="Times New Roman"/>
          <w:color w:val="FF0000"/>
          <w:sz w:val="24"/>
          <w:szCs w:val="24"/>
        </w:rPr>
        <w:t xml:space="preserve"> се разрешава с разрешението за поставяне, като неразделна част от обекта.</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color w:val="FF0000"/>
          <w:sz w:val="24"/>
          <w:szCs w:val="24"/>
        </w:rPr>
        <w:t>(</w:t>
      </w:r>
      <w:r w:rsidRPr="00D67C70">
        <w:rPr>
          <w:rFonts w:ascii="Times New Roman" w:hAnsi="Times New Roman" w:cs="Times New Roman"/>
          <w:bCs/>
          <w:color w:val="FF0000"/>
          <w:sz w:val="24"/>
          <w:szCs w:val="24"/>
          <w:lang w:val="en-GB"/>
        </w:rPr>
        <w:t>3</w:t>
      </w:r>
      <w:r w:rsidRPr="00D67C70">
        <w:rPr>
          <w:rFonts w:ascii="Times New Roman" w:hAnsi="Times New Roman" w:cs="Times New Roman"/>
          <w:bCs/>
          <w:color w:val="FF0000"/>
          <w:sz w:val="24"/>
          <w:szCs w:val="24"/>
        </w:rPr>
        <w:t xml:space="preserve">) </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Предишна ал. 2</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 xml:space="preserve"> </w:t>
      </w:r>
      <w:r w:rsidRPr="00D67C70">
        <w:rPr>
          <w:rFonts w:ascii="Times New Roman" w:hAnsi="Times New Roman" w:cs="Times New Roman"/>
          <w:bCs/>
          <w:sz w:val="24"/>
          <w:szCs w:val="24"/>
        </w:rPr>
        <w:t>Разрешението за поставяне на преместваем обект се издава в 7-дневен срок, считано от датата на заплащане на:</w:t>
      </w:r>
    </w:p>
    <w:p w:rsidR="00842A0E" w:rsidRPr="00D67C70" w:rsidRDefault="00842A0E" w:rsidP="00842A0E">
      <w:pPr>
        <w:pStyle w:val="a3"/>
        <w:numPr>
          <w:ilvl w:val="0"/>
          <w:numId w:val="21"/>
        </w:numPr>
        <w:jc w:val="both"/>
        <w:rPr>
          <w:rFonts w:ascii="Times New Roman" w:hAnsi="Times New Roman" w:cs="Times New Roman"/>
          <w:bCs/>
          <w:sz w:val="24"/>
          <w:szCs w:val="24"/>
        </w:rPr>
      </w:pPr>
      <w:r w:rsidRPr="00D67C70">
        <w:rPr>
          <w:rFonts w:ascii="Times New Roman" w:hAnsi="Times New Roman" w:cs="Times New Roman"/>
          <w:bCs/>
          <w:sz w:val="24"/>
          <w:szCs w:val="24"/>
        </w:rPr>
        <w:t>Такса за издаване на разрешение;</w:t>
      </w:r>
    </w:p>
    <w:p w:rsidR="00842A0E" w:rsidRPr="00D67C70" w:rsidRDefault="00842A0E" w:rsidP="00842A0E">
      <w:pPr>
        <w:pStyle w:val="a3"/>
        <w:numPr>
          <w:ilvl w:val="0"/>
          <w:numId w:val="21"/>
        </w:numPr>
        <w:jc w:val="both"/>
        <w:rPr>
          <w:rFonts w:ascii="Times New Roman" w:hAnsi="Times New Roman" w:cs="Times New Roman"/>
          <w:bCs/>
          <w:sz w:val="24"/>
          <w:szCs w:val="24"/>
        </w:rPr>
      </w:pPr>
      <w:r w:rsidRPr="00D67C70">
        <w:rPr>
          <w:rFonts w:ascii="Times New Roman" w:hAnsi="Times New Roman" w:cs="Times New Roman"/>
          <w:bCs/>
          <w:sz w:val="24"/>
          <w:szCs w:val="24"/>
        </w:rPr>
        <w:t>Дължимата такса за първия месец от действието на разрешението за обекти по чл. 2, ал.2, т. 2, 3 и 4;</w:t>
      </w:r>
    </w:p>
    <w:p w:rsidR="00842A0E" w:rsidRPr="00D67C70" w:rsidRDefault="00842A0E" w:rsidP="00842A0E">
      <w:pPr>
        <w:jc w:val="both"/>
        <w:rPr>
          <w:rFonts w:ascii="Times New Roman" w:hAnsi="Times New Roman" w:cs="Times New Roman"/>
          <w:bCs/>
          <w:color w:val="FF0000"/>
          <w:sz w:val="24"/>
          <w:szCs w:val="24"/>
        </w:rPr>
      </w:pPr>
      <w:r w:rsidRPr="00D67C70">
        <w:rPr>
          <w:rFonts w:ascii="Times New Roman" w:hAnsi="Times New Roman" w:cs="Times New Roman"/>
          <w:bCs/>
          <w:color w:val="FF0000"/>
          <w:sz w:val="24"/>
          <w:szCs w:val="24"/>
        </w:rPr>
        <w:t xml:space="preserve">(4) </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Предишна ал. 3</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 xml:space="preserve"> </w:t>
      </w:r>
      <w:r w:rsidRPr="00D67C70">
        <w:rPr>
          <w:rFonts w:ascii="Times New Roman" w:hAnsi="Times New Roman" w:cs="Times New Roman"/>
          <w:color w:val="FF0000"/>
          <w:sz w:val="24"/>
          <w:szCs w:val="24"/>
        </w:rPr>
        <w:t xml:space="preserve">(Доп., приета с Решение № [.]/[.] на ОС – Бяла Слатина, вл. в сила на [.]) </w:t>
      </w:r>
      <w:r w:rsidRPr="00D67C70">
        <w:rPr>
          <w:rFonts w:ascii="Times New Roman" w:hAnsi="Times New Roman" w:cs="Times New Roman"/>
          <w:bCs/>
          <w:sz w:val="24"/>
          <w:szCs w:val="24"/>
        </w:rPr>
        <w:t xml:space="preserve">Разрешението не може да бъде със срок по-дълъг от 3 години, </w:t>
      </w:r>
      <w:r w:rsidRPr="00D67C70">
        <w:rPr>
          <w:rFonts w:ascii="Times New Roman" w:hAnsi="Times New Roman" w:cs="Times New Roman"/>
          <w:bCs/>
          <w:color w:val="FF0000"/>
          <w:sz w:val="24"/>
          <w:szCs w:val="24"/>
        </w:rPr>
        <w:t>освен в предвидените в тази Наредба случаи.</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color w:val="FF0000"/>
          <w:sz w:val="24"/>
          <w:szCs w:val="24"/>
        </w:rPr>
        <w:t xml:space="preserve">(5) </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Предишна ал. 4</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 xml:space="preserve"> </w:t>
      </w:r>
      <w:r w:rsidRPr="00D67C70">
        <w:rPr>
          <w:rFonts w:ascii="Times New Roman" w:hAnsi="Times New Roman" w:cs="Times New Roman"/>
          <w:bCs/>
          <w:sz w:val="24"/>
          <w:szCs w:val="24"/>
        </w:rPr>
        <w:t>Разрешение за поставяне на обекти по чл. 2 ал. 2 т. 6 може да се издаде и за група елементи на градското обзавеждане.</w:t>
      </w:r>
    </w:p>
    <w:p w:rsidR="00842A0E" w:rsidRPr="00D67C70" w:rsidRDefault="00842A0E" w:rsidP="00842A0E">
      <w:pPr>
        <w:jc w:val="both"/>
        <w:rPr>
          <w:rFonts w:ascii="Times New Roman" w:hAnsi="Times New Roman" w:cs="Times New Roman"/>
          <w:bCs/>
          <w:sz w:val="24"/>
          <w:szCs w:val="24"/>
        </w:rPr>
      </w:pPr>
      <w:r w:rsidRPr="00D67C70">
        <w:rPr>
          <w:rFonts w:ascii="Times New Roman" w:hAnsi="Times New Roman" w:cs="Times New Roman"/>
          <w:bCs/>
          <w:color w:val="FF0000"/>
          <w:sz w:val="24"/>
          <w:szCs w:val="24"/>
        </w:rPr>
        <w:t xml:space="preserve">(6) </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Предишна ал. 5</w:t>
      </w:r>
      <w:r w:rsidRPr="00D67C70">
        <w:rPr>
          <w:rFonts w:ascii="Times New Roman" w:hAnsi="Times New Roman" w:cs="Times New Roman"/>
          <w:bCs/>
          <w:color w:val="FF0000"/>
          <w:sz w:val="24"/>
          <w:szCs w:val="24"/>
          <w:lang w:val="en-GB"/>
        </w:rPr>
        <w:t>)</w:t>
      </w:r>
      <w:r w:rsidRPr="00D67C70">
        <w:rPr>
          <w:rFonts w:ascii="Times New Roman" w:hAnsi="Times New Roman" w:cs="Times New Roman"/>
          <w:bCs/>
          <w:color w:val="FF0000"/>
          <w:sz w:val="24"/>
          <w:szCs w:val="24"/>
        </w:rPr>
        <w:t xml:space="preserve"> </w:t>
      </w:r>
      <w:r w:rsidRPr="00D67C70">
        <w:rPr>
          <w:rFonts w:ascii="Times New Roman" w:hAnsi="Times New Roman" w:cs="Times New Roman"/>
          <w:bCs/>
          <w:sz w:val="24"/>
          <w:szCs w:val="24"/>
        </w:rPr>
        <w:t>Не се издава разрешение за поставяне на преместваеми обекти на лица:</w:t>
      </w:r>
    </w:p>
    <w:p w:rsidR="00842A0E" w:rsidRPr="00D67C70" w:rsidRDefault="00842A0E" w:rsidP="00842A0E">
      <w:pPr>
        <w:pStyle w:val="a3"/>
        <w:numPr>
          <w:ilvl w:val="0"/>
          <w:numId w:val="22"/>
        </w:numPr>
        <w:jc w:val="both"/>
        <w:rPr>
          <w:rFonts w:ascii="Times New Roman" w:hAnsi="Times New Roman" w:cs="Times New Roman"/>
          <w:bCs/>
          <w:sz w:val="24"/>
          <w:szCs w:val="24"/>
        </w:rPr>
      </w:pPr>
      <w:r w:rsidRPr="00D67C70">
        <w:rPr>
          <w:rFonts w:ascii="Times New Roman" w:hAnsi="Times New Roman" w:cs="Times New Roman"/>
          <w:bCs/>
          <w:sz w:val="24"/>
          <w:szCs w:val="24"/>
        </w:rPr>
        <w:t>Които не са представили всички изискуеми документи по чл. 5, ал. 1, респективно представените документи не отговарят на изискванията;</w:t>
      </w:r>
    </w:p>
    <w:p w:rsidR="00842A0E" w:rsidRDefault="00842A0E" w:rsidP="00842A0E">
      <w:pPr>
        <w:pStyle w:val="a3"/>
        <w:numPr>
          <w:ilvl w:val="0"/>
          <w:numId w:val="22"/>
        </w:numPr>
        <w:jc w:val="both"/>
        <w:rPr>
          <w:rFonts w:ascii="Times New Roman" w:hAnsi="Times New Roman" w:cs="Times New Roman"/>
          <w:bCs/>
          <w:sz w:val="24"/>
          <w:szCs w:val="24"/>
        </w:rPr>
      </w:pPr>
      <w:r w:rsidRPr="00D67C70">
        <w:rPr>
          <w:rFonts w:ascii="Times New Roman" w:hAnsi="Times New Roman" w:cs="Times New Roman"/>
          <w:bCs/>
          <w:sz w:val="24"/>
          <w:szCs w:val="24"/>
        </w:rPr>
        <w:lastRenderedPageBreak/>
        <w:t>По отношение на които са налице влезли в сила заповеди за премахване по реда на чл. 57а от ЗУТ в рамките на три календарни години, следващи годината през която заповедта е влязла в сила.</w:t>
      </w:r>
    </w:p>
    <w:p w:rsidR="0065053A" w:rsidRPr="0065053A" w:rsidRDefault="0065053A" w:rsidP="00650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053A">
        <w:rPr>
          <w:rFonts w:ascii="Times New Roman" w:eastAsia="Times New Roman" w:hAnsi="Times New Roman" w:cs="Times New Roman"/>
          <w:sz w:val="24"/>
          <w:szCs w:val="24"/>
          <w:lang w:eastAsia="bg-BG"/>
        </w:rPr>
        <w:t>Настоящото предложение е направено при спазване на изискванията на чл. 75-79 от АПК, чл. 8, чл. 26 и чл. 28 от ЗНА.</w:t>
      </w:r>
    </w:p>
    <w:p w:rsidR="0065053A" w:rsidRPr="0065053A" w:rsidRDefault="0065053A" w:rsidP="00650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053A">
        <w:rPr>
          <w:rFonts w:ascii="Times New Roman" w:eastAsia="Times New Roman" w:hAnsi="Times New Roman" w:cs="Times New Roman"/>
          <w:sz w:val="24"/>
          <w:szCs w:val="24"/>
          <w:lang w:eastAsia="bg-BG"/>
        </w:rPr>
        <w:t>Съгласно чл. 26, ал. 4 от Закона за нормативните актове, във връзка с чл. 77 от АПК, в законоустановения 30-дневен срок от публикуване на настоящото предложение на интернет страницата на Община Бяла Слатина, се предоставя възможност на заинтересованите лица да направят своите предложения и да дадат становища по проекта на Наредбата.</w:t>
      </w:r>
    </w:p>
    <w:p w:rsidR="0065053A" w:rsidRPr="0065053A" w:rsidRDefault="0065053A" w:rsidP="0065053A">
      <w:pPr>
        <w:spacing w:before="100" w:beforeAutospacing="1" w:after="100" w:afterAutospacing="1" w:line="240" w:lineRule="auto"/>
        <w:ind w:firstLine="708"/>
        <w:jc w:val="both"/>
        <w:rPr>
          <w:rFonts w:ascii="Times New Roman" w:eastAsia="Times New Roman" w:hAnsi="Times New Roman" w:cs="Times New Roman"/>
          <w:sz w:val="24"/>
          <w:szCs w:val="24"/>
          <w:lang w:val="en-US" w:eastAsia="bg-BG"/>
        </w:rPr>
      </w:pPr>
      <w:r w:rsidRPr="0065053A">
        <w:rPr>
          <w:rFonts w:ascii="Times New Roman" w:eastAsia="Times New Roman" w:hAnsi="Times New Roman" w:cs="Times New Roman"/>
          <w:sz w:val="24"/>
          <w:szCs w:val="24"/>
          <w:lang w:eastAsia="bg-BG"/>
        </w:rPr>
        <w:t xml:space="preserve">Проектът е публикуван на официалната интернет страница на Община Бяла Слатина: </w:t>
      </w:r>
      <w:hyperlink r:id="rId7" w:history="1">
        <w:r w:rsidRPr="0065053A">
          <w:rPr>
            <w:rStyle w:val="a6"/>
            <w:rFonts w:ascii="Times New Roman" w:eastAsia="Times New Roman" w:hAnsi="Times New Roman" w:cs="Times New Roman"/>
            <w:sz w:val="24"/>
            <w:szCs w:val="24"/>
            <w:lang w:val="en-US" w:eastAsia="bg-BG"/>
          </w:rPr>
          <w:t>www.byala-slatina.bg</w:t>
        </w:r>
      </w:hyperlink>
      <w:r w:rsidRPr="0065053A">
        <w:rPr>
          <w:rFonts w:ascii="Times New Roman" w:eastAsia="Times New Roman" w:hAnsi="Times New Roman" w:cs="Times New Roman"/>
          <w:sz w:val="24"/>
          <w:szCs w:val="24"/>
          <w:lang w:val="en-US" w:eastAsia="bg-BG"/>
        </w:rPr>
        <w:t xml:space="preserve">. </w:t>
      </w:r>
    </w:p>
    <w:p w:rsidR="0065053A" w:rsidRPr="0065053A" w:rsidRDefault="0065053A" w:rsidP="006505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5053A">
        <w:rPr>
          <w:rFonts w:ascii="Times New Roman" w:eastAsia="Times New Roman" w:hAnsi="Times New Roman" w:cs="Times New Roman"/>
          <w:sz w:val="24"/>
          <w:szCs w:val="24"/>
          <w:lang w:eastAsia="bg-BG"/>
        </w:rPr>
        <w:t xml:space="preserve">Формата за участие от страна на заинтересованите лица и организации са писмени предложения, становища и мнения, които могат да бъдат подадени в 30-дневен срок, считано от </w:t>
      </w:r>
      <w:r w:rsidRPr="0065053A">
        <w:rPr>
          <w:rFonts w:ascii="Times New Roman" w:eastAsia="Times New Roman" w:hAnsi="Times New Roman" w:cs="Times New Roman"/>
          <w:sz w:val="24"/>
          <w:szCs w:val="24"/>
          <w:lang w:val="en-US" w:eastAsia="bg-BG"/>
        </w:rPr>
        <w:t>27</w:t>
      </w:r>
      <w:r w:rsidRPr="0065053A">
        <w:rPr>
          <w:rFonts w:ascii="Times New Roman" w:eastAsia="Times New Roman" w:hAnsi="Times New Roman" w:cs="Times New Roman"/>
          <w:sz w:val="24"/>
          <w:szCs w:val="24"/>
          <w:lang w:eastAsia="bg-BG"/>
        </w:rPr>
        <w:t>.</w:t>
      </w:r>
      <w:r w:rsidRPr="0065053A">
        <w:rPr>
          <w:rFonts w:ascii="Times New Roman" w:eastAsia="Times New Roman" w:hAnsi="Times New Roman" w:cs="Times New Roman"/>
          <w:sz w:val="24"/>
          <w:szCs w:val="24"/>
          <w:lang w:val="en-US" w:eastAsia="bg-BG"/>
        </w:rPr>
        <w:t>10</w:t>
      </w:r>
      <w:r w:rsidRPr="0065053A">
        <w:rPr>
          <w:rFonts w:ascii="Times New Roman" w:eastAsia="Times New Roman" w:hAnsi="Times New Roman" w:cs="Times New Roman"/>
          <w:sz w:val="24"/>
          <w:szCs w:val="24"/>
          <w:lang w:eastAsia="bg-BG"/>
        </w:rPr>
        <w:t xml:space="preserve">.2023г. в деловодството на Общинска администрация-Бяла Слатина, ул. „Климент Охридски“ № 68 или на </w:t>
      </w:r>
      <w:r w:rsidRPr="0065053A">
        <w:rPr>
          <w:rFonts w:ascii="Times New Roman" w:eastAsia="Times New Roman" w:hAnsi="Times New Roman" w:cs="Times New Roman"/>
          <w:sz w:val="24"/>
          <w:szCs w:val="24"/>
          <w:lang w:val="en-US" w:eastAsia="bg-BG"/>
        </w:rPr>
        <w:t xml:space="preserve">e-mail </w:t>
      </w:r>
      <w:hyperlink r:id="rId8" w:history="1">
        <w:r w:rsidRPr="0065053A">
          <w:rPr>
            <w:rStyle w:val="a6"/>
            <w:rFonts w:ascii="Times New Roman" w:eastAsia="Times New Roman" w:hAnsi="Times New Roman" w:cs="Times New Roman"/>
            <w:sz w:val="24"/>
            <w:szCs w:val="24"/>
            <w:lang w:val="en-US" w:eastAsia="bg-BG"/>
          </w:rPr>
          <w:t>bslatina@oabsl.bg</w:t>
        </w:r>
      </w:hyperlink>
      <w:r w:rsidRPr="0065053A">
        <w:rPr>
          <w:rFonts w:ascii="Times New Roman" w:eastAsia="Times New Roman" w:hAnsi="Times New Roman" w:cs="Times New Roman"/>
          <w:sz w:val="24"/>
          <w:szCs w:val="24"/>
          <w:lang w:eastAsia="bg-BG"/>
        </w:rPr>
        <w:t>.</w:t>
      </w:r>
    </w:p>
    <w:p w:rsidR="0065053A" w:rsidRPr="0065053A" w:rsidRDefault="0065053A" w:rsidP="0065053A">
      <w:pPr>
        <w:jc w:val="both"/>
        <w:rPr>
          <w:rFonts w:ascii="Times New Roman" w:hAnsi="Times New Roman" w:cs="Times New Roman"/>
          <w:bCs/>
          <w:sz w:val="24"/>
          <w:szCs w:val="24"/>
        </w:rPr>
      </w:pPr>
      <w:bookmarkStart w:id="0" w:name="_GoBack"/>
      <w:bookmarkEnd w:id="0"/>
    </w:p>
    <w:sectPr w:rsidR="0065053A" w:rsidRPr="006505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FB" w:rsidRDefault="009847FB">
      <w:pPr>
        <w:spacing w:after="0" w:line="240" w:lineRule="auto"/>
      </w:pPr>
      <w:r>
        <w:separator/>
      </w:r>
    </w:p>
  </w:endnote>
  <w:endnote w:type="continuationSeparator" w:id="0">
    <w:p w:rsidR="009847FB" w:rsidRDefault="0098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62671"/>
      <w:docPartObj>
        <w:docPartGallery w:val="Page Numbers (Bottom of Page)"/>
        <w:docPartUnique/>
      </w:docPartObj>
    </w:sdtPr>
    <w:sdtEndPr/>
    <w:sdtContent>
      <w:p w:rsidR="00AE635C" w:rsidRDefault="008C089C">
        <w:pPr>
          <w:pStyle w:val="a4"/>
          <w:jc w:val="right"/>
        </w:pPr>
        <w:r>
          <w:fldChar w:fldCharType="begin"/>
        </w:r>
        <w:r>
          <w:instrText>PAGE   \* MERGEFORMAT</w:instrText>
        </w:r>
        <w:r>
          <w:fldChar w:fldCharType="separate"/>
        </w:r>
        <w:r w:rsidR="0065053A">
          <w:rPr>
            <w:noProof/>
          </w:rPr>
          <w:t>6</w:t>
        </w:r>
        <w:r>
          <w:fldChar w:fldCharType="end"/>
        </w:r>
      </w:p>
    </w:sdtContent>
  </w:sdt>
  <w:p w:rsidR="00AE635C" w:rsidRDefault="009847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FB" w:rsidRDefault="009847FB">
      <w:pPr>
        <w:spacing w:after="0" w:line="240" w:lineRule="auto"/>
      </w:pPr>
      <w:r>
        <w:separator/>
      </w:r>
    </w:p>
  </w:footnote>
  <w:footnote w:type="continuationSeparator" w:id="0">
    <w:p w:rsidR="009847FB" w:rsidRDefault="0098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CB1"/>
    <w:multiLevelType w:val="hybridMultilevel"/>
    <w:tmpl w:val="AF70EF4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12C2F8E"/>
    <w:multiLevelType w:val="hybridMultilevel"/>
    <w:tmpl w:val="0A0CD6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AF52CA"/>
    <w:multiLevelType w:val="hybridMultilevel"/>
    <w:tmpl w:val="F39E803E"/>
    <w:lvl w:ilvl="0" w:tplc="63FC4D1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1EC4A20"/>
    <w:multiLevelType w:val="hybridMultilevel"/>
    <w:tmpl w:val="42A2CD8C"/>
    <w:lvl w:ilvl="0" w:tplc="EF4E35C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063C0"/>
    <w:multiLevelType w:val="hybridMultilevel"/>
    <w:tmpl w:val="1F36C81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180A76A7"/>
    <w:multiLevelType w:val="hybridMultilevel"/>
    <w:tmpl w:val="25B2850A"/>
    <w:lvl w:ilvl="0" w:tplc="04020013">
      <w:start w:val="1"/>
      <w:numFmt w:val="upperRoman"/>
      <w:lvlText w:val="%1."/>
      <w:lvlJc w:val="right"/>
      <w:pPr>
        <w:ind w:left="1568" w:hanging="360"/>
      </w:pPr>
    </w:lvl>
    <w:lvl w:ilvl="1" w:tplc="04020019">
      <w:start w:val="1"/>
      <w:numFmt w:val="lowerLetter"/>
      <w:lvlText w:val="%2."/>
      <w:lvlJc w:val="left"/>
      <w:pPr>
        <w:ind w:left="2288" w:hanging="360"/>
      </w:pPr>
    </w:lvl>
    <w:lvl w:ilvl="2" w:tplc="0402001B" w:tentative="1">
      <w:start w:val="1"/>
      <w:numFmt w:val="lowerRoman"/>
      <w:lvlText w:val="%3."/>
      <w:lvlJc w:val="right"/>
      <w:pPr>
        <w:ind w:left="3008" w:hanging="180"/>
      </w:pPr>
    </w:lvl>
    <w:lvl w:ilvl="3" w:tplc="0402000F" w:tentative="1">
      <w:start w:val="1"/>
      <w:numFmt w:val="decimal"/>
      <w:lvlText w:val="%4."/>
      <w:lvlJc w:val="left"/>
      <w:pPr>
        <w:ind w:left="3728" w:hanging="360"/>
      </w:pPr>
    </w:lvl>
    <w:lvl w:ilvl="4" w:tplc="04020019" w:tentative="1">
      <w:start w:val="1"/>
      <w:numFmt w:val="lowerLetter"/>
      <w:lvlText w:val="%5."/>
      <w:lvlJc w:val="left"/>
      <w:pPr>
        <w:ind w:left="4448" w:hanging="360"/>
      </w:pPr>
    </w:lvl>
    <w:lvl w:ilvl="5" w:tplc="0402001B" w:tentative="1">
      <w:start w:val="1"/>
      <w:numFmt w:val="lowerRoman"/>
      <w:lvlText w:val="%6."/>
      <w:lvlJc w:val="right"/>
      <w:pPr>
        <w:ind w:left="5168" w:hanging="180"/>
      </w:pPr>
    </w:lvl>
    <w:lvl w:ilvl="6" w:tplc="0402000F" w:tentative="1">
      <w:start w:val="1"/>
      <w:numFmt w:val="decimal"/>
      <w:lvlText w:val="%7."/>
      <w:lvlJc w:val="left"/>
      <w:pPr>
        <w:ind w:left="5888" w:hanging="360"/>
      </w:pPr>
    </w:lvl>
    <w:lvl w:ilvl="7" w:tplc="04020019" w:tentative="1">
      <w:start w:val="1"/>
      <w:numFmt w:val="lowerLetter"/>
      <w:lvlText w:val="%8."/>
      <w:lvlJc w:val="left"/>
      <w:pPr>
        <w:ind w:left="6608" w:hanging="360"/>
      </w:pPr>
    </w:lvl>
    <w:lvl w:ilvl="8" w:tplc="0402001B" w:tentative="1">
      <w:start w:val="1"/>
      <w:numFmt w:val="lowerRoman"/>
      <w:lvlText w:val="%9."/>
      <w:lvlJc w:val="right"/>
      <w:pPr>
        <w:ind w:left="7328" w:hanging="180"/>
      </w:pPr>
    </w:lvl>
  </w:abstractNum>
  <w:abstractNum w:abstractNumId="6" w15:restartNumberingAfterBreak="0">
    <w:nsid w:val="1A1E26F2"/>
    <w:multiLevelType w:val="hybridMultilevel"/>
    <w:tmpl w:val="7500E8F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E850FE5"/>
    <w:multiLevelType w:val="hybridMultilevel"/>
    <w:tmpl w:val="F1888C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4C4394"/>
    <w:multiLevelType w:val="hybridMultilevel"/>
    <w:tmpl w:val="76643A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E772B6"/>
    <w:multiLevelType w:val="hybridMultilevel"/>
    <w:tmpl w:val="1B96B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339C178A"/>
    <w:multiLevelType w:val="hybridMultilevel"/>
    <w:tmpl w:val="6FE054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FC82C1F"/>
    <w:multiLevelType w:val="hybridMultilevel"/>
    <w:tmpl w:val="B7A4A93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4016542F"/>
    <w:multiLevelType w:val="hybridMultilevel"/>
    <w:tmpl w:val="3A789A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6B618E"/>
    <w:multiLevelType w:val="hybridMultilevel"/>
    <w:tmpl w:val="8C58A4F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553342BF"/>
    <w:multiLevelType w:val="hybridMultilevel"/>
    <w:tmpl w:val="3A789A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60D744E"/>
    <w:multiLevelType w:val="hybridMultilevel"/>
    <w:tmpl w:val="0C52F22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5D04341F"/>
    <w:multiLevelType w:val="hybridMultilevel"/>
    <w:tmpl w:val="79A8931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66DF5876"/>
    <w:multiLevelType w:val="hybridMultilevel"/>
    <w:tmpl w:val="F1888CC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6F6B2A6C"/>
    <w:multiLevelType w:val="hybridMultilevel"/>
    <w:tmpl w:val="90C09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05F3DB2"/>
    <w:multiLevelType w:val="hybridMultilevel"/>
    <w:tmpl w:val="39EEBE28"/>
    <w:lvl w:ilvl="0" w:tplc="7A72E926">
      <w:numFmt w:val="bullet"/>
      <w:lvlText w:val="-"/>
      <w:lvlJc w:val="left"/>
      <w:pPr>
        <w:ind w:left="1068" w:hanging="360"/>
      </w:pPr>
      <w:rPr>
        <w:rFonts w:ascii="Calibri" w:eastAsiaTheme="minorHAnsi" w:hAnsi="Calibri" w:cs="Calibri" w:hint="default"/>
      </w:rPr>
    </w:lvl>
    <w:lvl w:ilvl="1" w:tplc="7A72E926">
      <w:numFmt w:val="bullet"/>
      <w:lvlText w:val="-"/>
      <w:lvlJc w:val="left"/>
      <w:pPr>
        <w:ind w:left="1788" w:hanging="360"/>
      </w:pPr>
      <w:rPr>
        <w:rFonts w:ascii="Calibri" w:eastAsiaTheme="minorHAnsi" w:hAnsi="Calibri" w:cs="Calibri"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75657EB0"/>
    <w:multiLevelType w:val="hybridMultilevel"/>
    <w:tmpl w:val="97DC50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78B6582"/>
    <w:multiLevelType w:val="hybridMultilevel"/>
    <w:tmpl w:val="E990CC26"/>
    <w:lvl w:ilvl="0" w:tplc="63CE3D24">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9FA445A"/>
    <w:multiLevelType w:val="hybridMultilevel"/>
    <w:tmpl w:val="D60E8928"/>
    <w:lvl w:ilvl="0" w:tplc="FFFFFFFF">
      <w:start w:val="1"/>
      <w:numFmt w:val="decimal"/>
      <w:lvlText w:val="%1."/>
      <w:lvlJc w:val="left"/>
      <w:pPr>
        <w:ind w:left="360" w:hanging="360"/>
      </w:pPr>
      <w:rPr>
        <w:rFonts w:hint="default"/>
        <w:b w:val="0"/>
        <w:bCs w:val="0"/>
      </w:rPr>
    </w:lvl>
    <w:lvl w:ilvl="1" w:tplc="3AC27450">
      <w:start w:val="1"/>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C1C1270"/>
    <w:multiLevelType w:val="hybridMultilevel"/>
    <w:tmpl w:val="B218F5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1"/>
  </w:num>
  <w:num w:numId="3">
    <w:abstractNumId w:val="22"/>
  </w:num>
  <w:num w:numId="4">
    <w:abstractNumId w:val="8"/>
  </w:num>
  <w:num w:numId="5">
    <w:abstractNumId w:val="19"/>
  </w:num>
  <w:num w:numId="6">
    <w:abstractNumId w:val="3"/>
  </w:num>
  <w:num w:numId="7">
    <w:abstractNumId w:val="20"/>
  </w:num>
  <w:num w:numId="8">
    <w:abstractNumId w:val="1"/>
  </w:num>
  <w:num w:numId="9">
    <w:abstractNumId w:val="12"/>
  </w:num>
  <w:num w:numId="10">
    <w:abstractNumId w:val="14"/>
  </w:num>
  <w:num w:numId="11">
    <w:abstractNumId w:val="7"/>
  </w:num>
  <w:num w:numId="12">
    <w:abstractNumId w:val="18"/>
  </w:num>
  <w:num w:numId="13">
    <w:abstractNumId w:val="10"/>
  </w:num>
  <w:num w:numId="14">
    <w:abstractNumId w:val="23"/>
  </w:num>
  <w:num w:numId="15">
    <w:abstractNumId w:val="17"/>
  </w:num>
  <w:num w:numId="16">
    <w:abstractNumId w:val="0"/>
  </w:num>
  <w:num w:numId="17">
    <w:abstractNumId w:val="4"/>
  </w:num>
  <w:num w:numId="18">
    <w:abstractNumId w:val="13"/>
  </w:num>
  <w:num w:numId="19">
    <w:abstractNumId w:val="6"/>
  </w:num>
  <w:num w:numId="20">
    <w:abstractNumId w:val="16"/>
  </w:num>
  <w:num w:numId="21">
    <w:abstractNumId w:val="9"/>
  </w:num>
  <w:num w:numId="22">
    <w:abstractNumId w:val="1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E4"/>
    <w:rsid w:val="00034A09"/>
    <w:rsid w:val="000D26CE"/>
    <w:rsid w:val="00201526"/>
    <w:rsid w:val="0065053A"/>
    <w:rsid w:val="00842A0E"/>
    <w:rsid w:val="008C089C"/>
    <w:rsid w:val="009847FB"/>
    <w:rsid w:val="00B832B8"/>
    <w:rsid w:val="00C76EE6"/>
    <w:rsid w:val="00D67C70"/>
    <w:rsid w:val="00F71AEF"/>
    <w:rsid w:val="00F751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40F9"/>
  <w15:chartTrackingRefBased/>
  <w15:docId w15:val="{30480FE2-16A9-40BB-87C9-54618A3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A0E"/>
    <w:pPr>
      <w:ind w:left="720"/>
      <w:contextualSpacing/>
    </w:pPr>
  </w:style>
  <w:style w:type="paragraph" w:styleId="a4">
    <w:name w:val="footer"/>
    <w:basedOn w:val="a"/>
    <w:link w:val="a5"/>
    <w:uiPriority w:val="99"/>
    <w:unhideWhenUsed/>
    <w:rsid w:val="00842A0E"/>
    <w:pPr>
      <w:tabs>
        <w:tab w:val="center" w:pos="4513"/>
        <w:tab w:val="right" w:pos="9026"/>
      </w:tabs>
      <w:spacing w:after="0" w:line="240" w:lineRule="auto"/>
    </w:pPr>
  </w:style>
  <w:style w:type="character" w:customStyle="1" w:styleId="a5">
    <w:name w:val="Долен колонтитул Знак"/>
    <w:basedOn w:val="a0"/>
    <w:link w:val="a4"/>
    <w:uiPriority w:val="99"/>
    <w:rsid w:val="00842A0E"/>
  </w:style>
  <w:style w:type="character" w:styleId="a6">
    <w:name w:val="Hyperlink"/>
    <w:basedOn w:val="a0"/>
    <w:uiPriority w:val="99"/>
    <w:unhideWhenUsed/>
    <w:rsid w:val="00842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113">
      <w:bodyDiv w:val="1"/>
      <w:marLeft w:val="0"/>
      <w:marRight w:val="0"/>
      <w:marTop w:val="0"/>
      <w:marBottom w:val="0"/>
      <w:divBdr>
        <w:top w:val="none" w:sz="0" w:space="0" w:color="auto"/>
        <w:left w:val="none" w:sz="0" w:space="0" w:color="auto"/>
        <w:bottom w:val="none" w:sz="0" w:space="0" w:color="auto"/>
        <w:right w:val="none" w:sz="0" w:space="0" w:color="auto"/>
      </w:divBdr>
    </w:div>
    <w:div w:id="405878774">
      <w:bodyDiv w:val="1"/>
      <w:marLeft w:val="0"/>
      <w:marRight w:val="0"/>
      <w:marTop w:val="0"/>
      <w:marBottom w:val="0"/>
      <w:divBdr>
        <w:top w:val="none" w:sz="0" w:space="0" w:color="auto"/>
        <w:left w:val="none" w:sz="0" w:space="0" w:color="auto"/>
        <w:bottom w:val="none" w:sz="0" w:space="0" w:color="auto"/>
        <w:right w:val="none" w:sz="0" w:space="0" w:color="auto"/>
      </w:divBdr>
      <w:divsChild>
        <w:div w:id="688717884">
          <w:marLeft w:val="0"/>
          <w:marRight w:val="0"/>
          <w:marTop w:val="0"/>
          <w:marBottom w:val="75"/>
          <w:divBdr>
            <w:top w:val="none" w:sz="0" w:space="0" w:color="auto"/>
            <w:left w:val="none" w:sz="0" w:space="0" w:color="auto"/>
            <w:bottom w:val="none" w:sz="0" w:space="0" w:color="auto"/>
            <w:right w:val="none" w:sz="0" w:space="0" w:color="auto"/>
          </w:divBdr>
        </w:div>
        <w:div w:id="403260438">
          <w:marLeft w:val="0"/>
          <w:marRight w:val="0"/>
          <w:marTop w:val="0"/>
          <w:marBottom w:val="75"/>
          <w:divBdr>
            <w:top w:val="none" w:sz="0" w:space="0" w:color="auto"/>
            <w:left w:val="none" w:sz="0" w:space="0" w:color="auto"/>
            <w:bottom w:val="none" w:sz="0" w:space="0" w:color="auto"/>
            <w:right w:val="none" w:sz="0" w:space="0" w:color="auto"/>
          </w:divBdr>
        </w:div>
      </w:divsChild>
    </w:div>
    <w:div w:id="11599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atina@oabsl.bg" TargetMode="External"/><Relationship Id="rId3" Type="http://schemas.openxmlformats.org/officeDocument/2006/relationships/settings" Target="settings.xml"/><Relationship Id="rId7" Type="http://schemas.openxmlformats.org/officeDocument/2006/relationships/hyperlink" Target="http://www.byala-slatin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11208</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Lozanova</dc:creator>
  <cp:keywords/>
  <dc:description/>
  <cp:lastModifiedBy>Petar Petrov</cp:lastModifiedBy>
  <cp:revision>2</cp:revision>
  <dcterms:created xsi:type="dcterms:W3CDTF">2023-10-27T07:07:00Z</dcterms:created>
  <dcterms:modified xsi:type="dcterms:W3CDTF">2023-10-27T07:07:00Z</dcterms:modified>
</cp:coreProperties>
</file>